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7B5B" w:rsidRDefault="00257B5B" w:rsidP="00257B5B">
      <w:pPr>
        <w:jc w:val="center"/>
      </w:pPr>
      <w:r>
        <w:t>PROPOSICIÓN MODIFICATIVA</w:t>
      </w:r>
    </w:p>
    <w:p w:rsidR="00257B5B" w:rsidRDefault="00257B5B" w:rsidP="00257B5B">
      <w:pPr>
        <w:jc w:val="center"/>
      </w:pPr>
    </w:p>
    <w:p w:rsidR="00257B5B" w:rsidRDefault="00257B5B" w:rsidP="00257B5B">
      <w:pPr>
        <w:jc w:val="center"/>
      </w:pPr>
      <w:proofErr w:type="spellStart"/>
      <w:r>
        <w:t>Mofiquese</w:t>
      </w:r>
      <w:proofErr w:type="spellEnd"/>
      <w:r>
        <w:t xml:space="preserve"> el parágrafo 3º del articulo 50 del Proyecto de Ley Numero 280 de 2020 Cámara – 158 de 2020 Senado </w:t>
      </w:r>
      <w:proofErr w:type="gramStart"/>
      <w:r>
        <w:t>“ Por</w:t>
      </w:r>
      <w:proofErr w:type="gramEnd"/>
      <w:r>
        <w:t xml:space="preserve"> medio de la </w:t>
      </w:r>
      <w:proofErr w:type="spellStart"/>
      <w:r>
        <w:t>cualse</w:t>
      </w:r>
      <w:proofErr w:type="spellEnd"/>
      <w:r>
        <w:t xml:space="preserve"> dictan disposiciones en materia de Vivienda y Habitad”. el cual quedara así: </w:t>
      </w:r>
    </w:p>
    <w:p w:rsidR="00257B5B" w:rsidRDefault="00257B5B" w:rsidP="00257B5B">
      <w:pPr>
        <w:jc w:val="center"/>
      </w:pPr>
    </w:p>
    <w:p w:rsidR="00257B5B" w:rsidRDefault="00257B5B" w:rsidP="00257B5B">
      <w:pPr>
        <w:jc w:val="both"/>
      </w:pPr>
      <w:r w:rsidRPr="00257B5B">
        <w:rPr>
          <w:b/>
          <w:bCs/>
        </w:rPr>
        <w:t>ARTÍCULO 50</w:t>
      </w:r>
      <w:r>
        <w:t xml:space="preserve">. Modifíquese el artículo 26 de la ley 1469 de 2011, el cual quedará así: </w:t>
      </w:r>
    </w:p>
    <w:p w:rsidR="00257B5B" w:rsidRDefault="00257B5B" w:rsidP="00257B5B">
      <w:pPr>
        <w:jc w:val="both"/>
      </w:pPr>
      <w:r>
        <w:t xml:space="preserve">“Artículo 26. Articulación del subsidio familiar de vivienda y crédito de vivienda, leasing habitacional y contrato de arrendamiento con derecho de adquisición a favor del arrendatario. El Ministerio de Vivienda, Ciudad y Territorio reglamentará un procedimiento especial que permita articular los recursos del Subsidio Familiar de Vivienda de que trata el artículo 18 de la presente ley, con los recursos originados en créditos para adquisición de vivienda o leasing habitacional para habitación de la familia otorgados por las entidades debidamente autorizadas para tal propósito, y con contratos de arrendamiento con opción de compra a favor del arrendatario. </w:t>
      </w:r>
    </w:p>
    <w:p w:rsidR="00257B5B" w:rsidRDefault="00257B5B" w:rsidP="00257B5B">
      <w:pPr>
        <w:jc w:val="both"/>
      </w:pPr>
      <w:r>
        <w:t xml:space="preserve">Parágrafo 1o. Para el desarrollo de los Macroproyectos de Interés Social Nacional, de Proyectos Integrales de Desarrollo Urbano y de Proyectos de Vivienda, el Fondo Nacional de Ahorro podrá otorgar crédito constructor a los promotores de dichos proyectos. Estos créditos podrán subrogarse a los afiliados del Fondo Nacional de Ahorro que se vinculen a estos proyectos, de acuerdo con las políticas y la reglamentación que para tal propósito defina la Junta Directiva del Fondo Nacional de Ahorro. </w:t>
      </w:r>
    </w:p>
    <w:p w:rsidR="00257B5B" w:rsidRDefault="00257B5B" w:rsidP="00257B5B">
      <w:pPr>
        <w:jc w:val="both"/>
      </w:pPr>
      <w:r>
        <w:t xml:space="preserve">Parágrafo 2o. </w:t>
      </w:r>
      <w:r w:rsidR="005F7F36">
        <w:t>Facúltese</w:t>
      </w:r>
      <w:r>
        <w:t xml:space="preserve"> al Fondo Nacional de Ahorro para realizar operaciones de leasing habitacional destinadas a la adquisición de vivienda. </w:t>
      </w:r>
    </w:p>
    <w:p w:rsidR="00257B5B" w:rsidRDefault="00257B5B" w:rsidP="00257B5B">
      <w:pPr>
        <w:jc w:val="both"/>
      </w:pPr>
      <w:r>
        <w:t>Parágrafo 3o. Con el propósito de generar condiciones que faciliten la financiación de vivienda nueva, el Gobierno Nacional, a través del Fondo de Reserva para la Estabilización de Cartera Hipotecaria (FRECH), administrado por el Banco de la República, podrá ofrecer nuevas coberturas de tasas de interés a los deudores de crédito de vivienda nueva que otorguen las entidades financieras y las Cajas de Compensación Familiar</w:t>
      </w:r>
      <w:r>
        <w:t xml:space="preserve"> y las entidades de economía solidaria vigiladas por la Superintendencia de la Economía Solidaria de acuerdo con la reglamentación que expida el Gobierno Nacional</w:t>
      </w:r>
    </w:p>
    <w:p w:rsidR="005F7F36" w:rsidRDefault="005F7F36" w:rsidP="00257B5B">
      <w:pPr>
        <w:jc w:val="both"/>
      </w:pPr>
    </w:p>
    <w:p w:rsidR="005F7F36" w:rsidRDefault="005F7F36" w:rsidP="00257B5B">
      <w:pPr>
        <w:jc w:val="both"/>
      </w:pPr>
      <w:bookmarkStart w:id="0" w:name="_GoBack"/>
      <w:bookmarkEnd w:id="0"/>
    </w:p>
    <w:p w:rsidR="005F7F36" w:rsidRPr="005F7F36" w:rsidRDefault="005F7F36" w:rsidP="005F7F36">
      <w:pPr>
        <w:spacing w:after="0" w:line="240" w:lineRule="auto"/>
        <w:jc w:val="center"/>
        <w:rPr>
          <w:b/>
          <w:bCs/>
        </w:rPr>
      </w:pPr>
    </w:p>
    <w:p w:rsidR="005F7F36" w:rsidRPr="005F7F36" w:rsidRDefault="005F7F36" w:rsidP="005F7F36">
      <w:pPr>
        <w:spacing w:after="0" w:line="240" w:lineRule="auto"/>
        <w:jc w:val="center"/>
        <w:rPr>
          <w:b/>
          <w:bCs/>
        </w:rPr>
      </w:pPr>
      <w:r w:rsidRPr="005F7F36">
        <w:rPr>
          <w:b/>
          <w:bCs/>
        </w:rPr>
        <w:t>GERMAN BLANCO ÁLVAREZ</w:t>
      </w:r>
    </w:p>
    <w:p w:rsidR="005F7F36" w:rsidRPr="005F7F36" w:rsidRDefault="005F7F36" w:rsidP="005F7F36">
      <w:pPr>
        <w:spacing w:after="0" w:line="240" w:lineRule="auto"/>
        <w:jc w:val="center"/>
        <w:rPr>
          <w:b/>
          <w:bCs/>
        </w:rPr>
      </w:pPr>
      <w:r w:rsidRPr="005F7F36">
        <w:rPr>
          <w:b/>
          <w:bCs/>
        </w:rPr>
        <w:t>Representante a la Cámara</w:t>
      </w:r>
    </w:p>
    <w:sectPr w:rsidR="005F7F36" w:rsidRPr="005F7F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B5B"/>
    <w:rsid w:val="00257B5B"/>
    <w:rsid w:val="005F7F3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932E"/>
  <w15:chartTrackingRefBased/>
  <w15:docId w15:val="{B62D4D15-722F-498C-B374-E6751FCA9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349</Words>
  <Characters>1920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2020-10-29T18:32:00Z</dcterms:created>
  <dcterms:modified xsi:type="dcterms:W3CDTF">2020-10-29T18:46:00Z</dcterms:modified>
</cp:coreProperties>
</file>